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A4" w:rsidRPr="000A7EA4" w:rsidRDefault="000A7EA4" w:rsidP="000A7EA4">
      <w:pPr>
        <w:shd w:val="clear" w:color="auto" w:fill="FFFFFF"/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ru-RU"/>
        </w:rPr>
      </w:pPr>
      <w:r w:rsidRPr="000A7EA4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ru-RU"/>
        </w:rPr>
        <w:t>Сведения о наличии средств обучения и воспитания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 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мультимедийные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учебники, сетевые образовательные ресурсы, 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мультимедийные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универсальные энциклопедии)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Учебные приборы (компас, барометр, колбы и т.д.)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Тренажеры и спортивное оборудование.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 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  <w:t>Общая дидактическая роль средств обучения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Наиболее эффективное воздействие на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обучающихся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оказывают современные аудиовизуальные и 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мультимедийные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multimedia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(что в переводе с английского означает «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многос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p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едность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») определяется информационная технология на основе 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пpогpаммно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Мультимедиатехнология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  <w:t>Принципы использования средств обучения</w:t>
      </w:r>
    </w:p>
    <w:p w:rsidR="000A7EA4" w:rsidRPr="000A7EA4" w:rsidRDefault="000A7EA4" w:rsidP="000A7EA4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</w:pPr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>учет возрастных и психологических особенностей обучающихся</w:t>
      </w:r>
    </w:p>
    <w:p w:rsidR="000A7EA4" w:rsidRPr="000A7EA4" w:rsidRDefault="000A7EA4" w:rsidP="000A7EA4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</w:pPr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>аудиальную</w:t>
      </w:r>
      <w:proofErr w:type="spellEnd"/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>, кинестетическую системы восприятия в образовательных целях</w:t>
      </w:r>
    </w:p>
    <w:p w:rsidR="000A7EA4" w:rsidRPr="000A7EA4" w:rsidRDefault="000A7EA4" w:rsidP="000A7EA4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</w:pPr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0A7EA4" w:rsidRPr="000A7EA4" w:rsidRDefault="000A7EA4" w:rsidP="000A7EA4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</w:pPr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>сотворчество педагога и обучающегося</w:t>
      </w:r>
    </w:p>
    <w:p w:rsidR="000A7EA4" w:rsidRPr="000A7EA4" w:rsidRDefault="000A7EA4" w:rsidP="000A7EA4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</w:pPr>
      <w:r w:rsidRPr="000A7EA4">
        <w:rPr>
          <w:rFonts w:ascii="inherit" w:eastAsia="Times New Roman" w:hAnsi="inherit" w:cs="Helvetica"/>
          <w:color w:val="555555"/>
          <w:sz w:val="17"/>
          <w:szCs w:val="17"/>
          <w:lang w:eastAsia="ru-RU"/>
        </w:rPr>
        <w:t>приоритет правил безопасности в использовании средств обучения.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ind w:left="720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 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  <w:t>Визуальные (зрительные):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 таблицы по истории, биологии, географии,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,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математике, русскому  языку, ОБЖ, ИЗО,  начальным классам;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-карты по истории и географии;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-картины по русскому языку, литературе;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-натуральные объекты по биологии;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 модели, муляжи по биологии, географии, математике, начальным классам;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-лабораторное оборудование по биологии.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Аудиальные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(слуховые):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- музыкальный центр 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Аудиовизуальные (зрительно-слуховые):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 звуковые фильмы;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  <w:t>Средства, автоматизирующие процесс обучения</w:t>
      </w: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 компьютеры 20</w:t>
      </w: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lastRenderedPageBreak/>
        <w:t>Сканер 2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Принтер 4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 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FF0000"/>
          <w:sz w:val="17"/>
          <w:szCs w:val="17"/>
          <w:lang w:eastAsia="ru-RU"/>
        </w:rPr>
        <w:t>Словесные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-учебники;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-художественная литература;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-словари;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-другая необходимая литература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b/>
          <w:bCs/>
          <w:color w:val="555555"/>
          <w:sz w:val="17"/>
          <w:lang w:eastAsia="ru-RU"/>
        </w:rPr>
        <w:t>О средствах воспитания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Традиционно в качестве средств воспитания рассматривают объекты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материальной и духовной культуры, которые используют для решения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воспитательных задач, соблюдая следующие условия: 1) с данным объектом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связана информация, необходимая для развития внутреннего мира личности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</w:t>
      </w:r>
      <w:proofErr w:type="gramEnd"/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</w:t>
      </w:r>
      <w:proofErr w:type="gramEnd"/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общение и совместную деятельность воспитателя и воспитанников.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b/>
          <w:bCs/>
          <w:color w:val="555555"/>
          <w:sz w:val="17"/>
          <w:lang w:eastAsia="ru-RU"/>
        </w:rPr>
        <w:t>1. Общение как средство воспитания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а)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непосредственное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в форме прямых контактов учителя и обучающегося;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индивидуальные беседы;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б)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опосредованное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, проявляющееся в том, что педагог направляет свои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на</w:t>
      </w:r>
      <w:proofErr w:type="gramEnd"/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часы, школьные праздники и мероприятия.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b/>
          <w:bCs/>
          <w:color w:val="555555"/>
          <w:sz w:val="17"/>
          <w:lang w:eastAsia="ru-RU"/>
        </w:rPr>
        <w:t>2. Учение как средство воспитания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Учение как деятельность ученика, в результате которой он усваивает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знания, формирует умения и навыки, выступает одним из ведущих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воспитательных средств, обеспечивая целенаправленное формирование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отношения ученика к предметам и явлениям окружающего мира. В ходе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обучения воспитывающее влияние на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обучающихся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оказывают содержание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изучаемого материала, формы и методы учебной работы, личность учителя,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его отношение к ученикам, учебному предмету и всему миру, а также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обстановка в классе и школе.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Эффективность воспитательного воздействия учения значительно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повышается, когда на уроке практикуется так </w:t>
      </w: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называемая</w:t>
      </w:r>
      <w:proofErr w:type="gram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 xml:space="preserve"> совместная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продуктивная деятельность школьников. В основе такой деятельности лежит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учебное взаимодействие, в ходе которого дети: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а) выясняют условия совместного выполнения задания;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б) организуют его взаимное обсуждение;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в) фиксируют ход совместной работы;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г) обсуждают полученные результаты;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) оценивают успехи каждого;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е) утверждают самооценки членов группы;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е) совместно решают, как будут отчитываться о выполнения задания;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ж) проверяют и оценивают итоги совместно проделанной работы.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Совместная деятельность школьников становится продуктивной, если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она осуществляется при условии включения каждого ученика в решение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lastRenderedPageBreak/>
        <w:t>задач в начале процесса усвоения нового предметного содержания, а также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при активном его сотрудничестве с учителем и другими учениками.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Личностно-развивающие возможности совместной учебной деятельности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школьников повышаются при следующих условиях: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1) в ней должны быть воплощены отношения ответственной зависимости;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2) она должна быть социально ценной, значимой и интересной для детей;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3) социальная роль ребенка в процессе совместной деятельности и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proofErr w:type="gram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подчиненного и наоборот);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4) совместная деятельность должна быть эмоционально насыщена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коллективными переживаниями, состраданием к неудачам других детей и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умению радоваться их успехам.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b/>
          <w:bCs/>
          <w:color w:val="555555"/>
          <w:sz w:val="17"/>
          <w:lang w:eastAsia="ru-RU"/>
        </w:rPr>
        <w:t>3.Труд как средство воспитания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Воспитательная сила труда заключается преимущественно в том, что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достижение его цели и удовлетворение вследствие этого какой-то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потребности влечет за собой появление новых потребностей.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Осуществляется через: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-дежурство по классу, школе;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-работу на пришкольном участке.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b/>
          <w:bCs/>
          <w:color w:val="555555"/>
          <w:sz w:val="17"/>
          <w:lang w:eastAsia="ru-RU"/>
        </w:rPr>
        <w:t>4. Игра как средство воспитания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Используется как в урочной, так и во внеурочной системе, организуется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в форме проведения разного рода игр: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</w:t>
      </w:r>
      <w:proofErr w:type="spellStart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организационно-деятельностные</w:t>
      </w:r>
      <w:proofErr w:type="spellEnd"/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 соревновательные;</w:t>
      </w:r>
    </w:p>
    <w:p w:rsidR="000A7EA4" w:rsidRPr="000A7EA4" w:rsidRDefault="000A7EA4" w:rsidP="000A7EA4">
      <w:pPr>
        <w:shd w:val="clear" w:color="auto" w:fill="FFFFFF"/>
        <w:spacing w:before="132" w:after="132" w:line="240" w:lineRule="auto"/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</w:pPr>
      <w:r w:rsidRPr="000A7EA4">
        <w:rPr>
          <w:rFonts w:ascii="Helvetica" w:eastAsia="Times New Roman" w:hAnsi="Helvetica" w:cs="Helvetica"/>
          <w:color w:val="555555"/>
          <w:sz w:val="17"/>
          <w:szCs w:val="17"/>
          <w:lang w:eastAsia="ru-RU"/>
        </w:rPr>
        <w:t>- сюжетно-ролевые.</w:t>
      </w:r>
    </w:p>
    <w:p w:rsidR="000E1BD0" w:rsidRDefault="000E1BD0"/>
    <w:sectPr w:rsidR="000E1BD0" w:rsidSect="000A7EA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F01"/>
    <w:multiLevelType w:val="multilevel"/>
    <w:tmpl w:val="652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A7EA4"/>
    <w:rsid w:val="000A7EA4"/>
    <w:rsid w:val="000E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D0"/>
  </w:style>
  <w:style w:type="paragraph" w:styleId="2">
    <w:name w:val="heading 2"/>
    <w:basedOn w:val="a"/>
    <w:link w:val="20"/>
    <w:uiPriority w:val="9"/>
    <w:qFormat/>
    <w:rsid w:val="000A7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E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5946</Characters>
  <Application>Microsoft Office Word</Application>
  <DocSecurity>0</DocSecurity>
  <Lines>49</Lines>
  <Paragraphs>13</Paragraphs>
  <ScaleCrop>false</ScaleCrop>
  <Company>Krokoz™ Inc.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2</cp:revision>
  <dcterms:created xsi:type="dcterms:W3CDTF">2018-12-20T19:10:00Z</dcterms:created>
  <dcterms:modified xsi:type="dcterms:W3CDTF">2018-12-20T19:10:00Z</dcterms:modified>
</cp:coreProperties>
</file>